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47A5AC8F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31A5FB47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D13F52">
        <w:t>29</w:t>
      </w:r>
      <w:r w:rsidR="008B51DB">
        <w:t>.</w:t>
      </w:r>
      <w:r w:rsidR="00B62108">
        <w:t>0</w:t>
      </w:r>
      <w:r w:rsidR="007F2B27">
        <w:t>9</w:t>
      </w:r>
      <w:r w:rsidR="008B51DB">
        <w:t>.20</w:t>
      </w:r>
      <w:r w:rsidR="00B62108">
        <w:t>20</w:t>
      </w:r>
      <w:r w:rsidR="008B51DB">
        <w:t xml:space="preserve"> </w:t>
      </w:r>
      <w:r>
        <w:t>года №</w:t>
      </w:r>
      <w:r w:rsidR="008512FB">
        <w:t>1</w:t>
      </w:r>
      <w:r w:rsidR="00D13F52">
        <w:t>6</w:t>
      </w:r>
      <w:r w:rsidR="001C3CB3">
        <w:t>3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>
        <w:t>земельного участка, имеющего следующие характеристики:</w:t>
      </w:r>
    </w:p>
    <w:p w14:paraId="652CE666" w14:textId="0FCE7D78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1C3CB3">
        <w:t>130202</w:t>
      </w:r>
      <w:r w:rsidRPr="00A6466D">
        <w:t>:</w:t>
      </w:r>
      <w:r w:rsidR="001C3CB3">
        <w:t>3671</w:t>
      </w:r>
      <w:r w:rsidRPr="00E25A74">
        <w:t xml:space="preserve">, площадью </w:t>
      </w:r>
      <w:r w:rsidR="00D13F52">
        <w:t>2</w:t>
      </w:r>
      <w:r w:rsidR="00897180">
        <w:t>0</w:t>
      </w:r>
      <w:r w:rsidR="00C54FCD">
        <w:t>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63178E" w:rsidRPr="0063178E">
        <w:t>с.</w:t>
      </w:r>
      <w:r w:rsidR="001C3CB3">
        <w:t>Черный</w:t>
      </w:r>
      <w:proofErr w:type="spellEnd"/>
      <w:r w:rsidR="001C3CB3">
        <w:t xml:space="preserve"> Яр, </w:t>
      </w:r>
      <w:proofErr w:type="spellStart"/>
      <w:r w:rsidR="001C3CB3">
        <w:t>ул.Л.Рейснер</w:t>
      </w:r>
      <w:proofErr w:type="spellEnd"/>
      <w:r w:rsidR="00026A94">
        <w:t>.</w:t>
      </w:r>
    </w:p>
    <w:p w14:paraId="068FBA43" w14:textId="37CFE442"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1C3CB3">
        <w:t>ведение огородничества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CE89BAB" w:rsidR="00A6466D" w:rsidRDefault="00D13F52" w:rsidP="00780474">
            <w:pPr>
              <w:pStyle w:val="a5"/>
              <w:jc w:val="center"/>
            </w:pPr>
            <w:r>
              <w:t>1</w:t>
            </w:r>
            <w:r w:rsidR="001C3CB3">
              <w:t>5</w:t>
            </w:r>
            <w:r>
              <w:t>0</w:t>
            </w:r>
            <w:r w:rsidR="00420CD0">
              <w:t>0</w:t>
            </w:r>
            <w:r w:rsidR="009530F5">
              <w:t>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14:paraId="0177CA95" w14:textId="005A953C" w:rsidR="00A6466D" w:rsidRDefault="00D13F52" w:rsidP="005642EE">
            <w:pPr>
              <w:pStyle w:val="a5"/>
              <w:jc w:val="center"/>
            </w:pPr>
            <w:r>
              <w:t>3</w:t>
            </w:r>
            <w:r w:rsidR="001C3CB3">
              <w:t>0</w:t>
            </w:r>
            <w:r>
              <w:t>0</w:t>
            </w:r>
            <w:r w:rsidR="00B557DA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B872F17" w:rsidR="00A6466D" w:rsidRDefault="001C3CB3" w:rsidP="005642EE">
            <w:pPr>
              <w:pStyle w:val="a5"/>
              <w:jc w:val="center"/>
            </w:pPr>
            <w:r>
              <w:t>45</w:t>
            </w:r>
            <w:r w:rsidR="00D13F52">
              <w:t>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7777777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</w:t>
      </w:r>
      <w:proofErr w:type="spellStart"/>
      <w:r w:rsidRPr="00BF5176">
        <w:rPr>
          <w:rFonts w:eastAsia="Calibri"/>
        </w:rPr>
        <w:t>с.Черный</w:t>
      </w:r>
      <w:proofErr w:type="spellEnd"/>
      <w:r w:rsidRPr="00BF5176">
        <w:rPr>
          <w:rFonts w:eastAsia="Calibri"/>
        </w:rPr>
        <w:t xml:space="preserve">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021ADC">
        <w:rPr>
          <w:rFonts w:eastAsia="Calibri"/>
        </w:rPr>
        <w:t>Магеррамов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Илькин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Яшарович</w:t>
      </w:r>
      <w:proofErr w:type="spellEnd"/>
      <w:r w:rsidRPr="00FB4CE7">
        <w:rPr>
          <w:rFonts w:eastAsia="Calibri"/>
        </w:rPr>
        <w:t xml:space="preserve">. </w:t>
      </w:r>
    </w:p>
    <w:p w14:paraId="38799423" w14:textId="5C491F5A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D13F52">
        <w:rPr>
          <w:rFonts w:eastAsia="Calibri"/>
        </w:rPr>
        <w:t>03</w:t>
      </w:r>
      <w:r w:rsidR="007B5634" w:rsidRPr="00FB4CE7">
        <w:rPr>
          <w:rFonts w:eastAsia="Calibri"/>
        </w:rPr>
        <w:t xml:space="preserve"> </w:t>
      </w:r>
      <w:r w:rsidR="00D13F52">
        <w:rPr>
          <w:rFonts w:eastAsia="Calibri"/>
        </w:rPr>
        <w:t>ноября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1C3CB3">
        <w:rPr>
          <w:rFonts w:eastAsia="Calibri"/>
        </w:rPr>
        <w:t>4</w:t>
      </w:r>
      <w:r w:rsidR="00421113" w:rsidRPr="00FB4CE7">
        <w:rPr>
          <w:rFonts w:eastAsia="Calibri"/>
        </w:rPr>
        <w:t>.</w:t>
      </w:r>
      <w:r w:rsidR="001C3CB3">
        <w:rPr>
          <w:rFonts w:eastAsia="Calibri"/>
        </w:rPr>
        <w:t>0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938E43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сентября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23901C5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14:paraId="6BFBCE61" w14:textId="3C9B9841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30</w:t>
      </w:r>
      <w:r w:rsidR="00A93471"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1C3CB3">
        <w:rPr>
          <w:rFonts w:eastAsia="Calibri"/>
        </w:rPr>
        <w:t>4</w:t>
      </w:r>
      <w:r w:rsidRPr="00FB4CE7">
        <w:rPr>
          <w:rFonts w:eastAsia="Calibri"/>
        </w:rPr>
        <w:t>.</w:t>
      </w:r>
      <w:r w:rsidR="001C3CB3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lastRenderedPageBreak/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0A7BB1D4" w14:textId="77777777"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 xml:space="preserve">Отделение Астрахань </w:t>
      </w:r>
      <w:proofErr w:type="spellStart"/>
      <w:r w:rsidR="00BE0FF0" w:rsidRPr="00BE0FF0">
        <w:t>г.Астрахань</w:t>
      </w:r>
      <w:proofErr w:type="spellEnd"/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14:paraId="4661D753" w14:textId="77777777" w:rsidR="00A6466D" w:rsidRPr="00F90FC2" w:rsidRDefault="00A6466D" w:rsidP="00B8718C">
      <w:pPr>
        <w:pStyle w:val="a5"/>
        <w:ind w:firstLine="360"/>
      </w:pP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C2F53"/>
    <w:rsid w:val="000F7C5A"/>
    <w:rsid w:val="001946DC"/>
    <w:rsid w:val="001C3CB3"/>
    <w:rsid w:val="001F72C0"/>
    <w:rsid w:val="0021781C"/>
    <w:rsid w:val="00296C1D"/>
    <w:rsid w:val="00300831"/>
    <w:rsid w:val="00310975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C70ED"/>
    <w:rsid w:val="006D27B7"/>
    <w:rsid w:val="00721C3B"/>
    <w:rsid w:val="00780474"/>
    <w:rsid w:val="007853B7"/>
    <w:rsid w:val="00791F57"/>
    <w:rsid w:val="007B5634"/>
    <w:rsid w:val="007F2B27"/>
    <w:rsid w:val="00823634"/>
    <w:rsid w:val="008334A1"/>
    <w:rsid w:val="008512FB"/>
    <w:rsid w:val="008871CA"/>
    <w:rsid w:val="00897180"/>
    <w:rsid w:val="008A0AD3"/>
    <w:rsid w:val="008B51DB"/>
    <w:rsid w:val="00911C52"/>
    <w:rsid w:val="009247AA"/>
    <w:rsid w:val="009530F5"/>
    <w:rsid w:val="00A4440C"/>
    <w:rsid w:val="00A4713F"/>
    <w:rsid w:val="00A6466D"/>
    <w:rsid w:val="00A93471"/>
    <w:rsid w:val="00AC1D1C"/>
    <w:rsid w:val="00B179F8"/>
    <w:rsid w:val="00B22C15"/>
    <w:rsid w:val="00B557DA"/>
    <w:rsid w:val="00B62108"/>
    <w:rsid w:val="00B8718C"/>
    <w:rsid w:val="00B8730E"/>
    <w:rsid w:val="00BE0FF0"/>
    <w:rsid w:val="00BF5176"/>
    <w:rsid w:val="00C54FCD"/>
    <w:rsid w:val="00C953C8"/>
    <w:rsid w:val="00CA1EB8"/>
    <w:rsid w:val="00CB7177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105</cp:revision>
  <cp:lastPrinted>2020-09-28T12:37:00Z</cp:lastPrinted>
  <dcterms:created xsi:type="dcterms:W3CDTF">2017-05-12T11:21:00Z</dcterms:created>
  <dcterms:modified xsi:type="dcterms:W3CDTF">2020-09-28T12:37:00Z</dcterms:modified>
</cp:coreProperties>
</file>