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8" w:rsidRPr="00FD1668" w:rsidRDefault="00FD1668" w:rsidP="00FD1668">
      <w:pPr>
        <w:widowControl/>
        <w:jc w:val="center"/>
        <w:rPr>
          <w:rFonts w:ascii="Times New Roman" w:eastAsia="Calibri" w:hAnsi="Times New Roman" w:cs="Times New Roman"/>
          <w:lang w:bidi="ar-SA"/>
        </w:rPr>
      </w:pPr>
      <w:bookmarkStart w:id="0" w:name="bookmark0"/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747395" cy="896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68" w:rsidRDefault="00FD1668">
      <w:pPr>
        <w:pStyle w:val="10"/>
        <w:keepNext/>
        <w:keepLines/>
        <w:shd w:val="clear" w:color="auto" w:fill="auto"/>
        <w:ind w:right="160"/>
      </w:pPr>
    </w:p>
    <w:p w:rsidR="00492F63" w:rsidRDefault="00F066BF">
      <w:pPr>
        <w:pStyle w:val="10"/>
        <w:keepNext/>
        <w:keepLines/>
        <w:shd w:val="clear" w:color="auto" w:fill="auto"/>
        <w:ind w:right="160"/>
      </w:pPr>
      <w:r>
        <w:t>ПОСТАНОВЛЕНИЕ</w:t>
      </w:r>
      <w:bookmarkEnd w:id="0"/>
    </w:p>
    <w:p w:rsidR="00492F63" w:rsidRDefault="00F066BF">
      <w:pPr>
        <w:pStyle w:val="10"/>
        <w:keepNext/>
        <w:keepLines/>
        <w:shd w:val="clear" w:color="auto" w:fill="auto"/>
        <w:ind w:right="160"/>
      </w:pPr>
      <w:bookmarkStart w:id="1" w:name="bookmark1"/>
      <w:r>
        <w:t>КОМИТЕТА ИМУЩЕСТВЕННЫХ ОТНОШЕНИЙ</w:t>
      </w:r>
      <w:r>
        <w:br/>
        <w:t>ЧЕРНОЯРСКОГО РАЙОНА</w:t>
      </w:r>
      <w:bookmarkEnd w:id="1"/>
    </w:p>
    <w:p w:rsidR="00492F63" w:rsidRDefault="00F066BF">
      <w:pPr>
        <w:pStyle w:val="30"/>
        <w:shd w:val="clear" w:color="auto" w:fill="auto"/>
        <w:spacing w:after="388"/>
        <w:ind w:right="160"/>
      </w:pPr>
      <w:r>
        <w:t>АСТРАХАНСКОЙ ОБЛАСТИ</w:t>
      </w:r>
    </w:p>
    <w:p w:rsidR="00492F63" w:rsidRDefault="00F066BF">
      <w:pPr>
        <w:pStyle w:val="40"/>
        <w:shd w:val="clear" w:color="auto" w:fill="auto"/>
        <w:spacing w:before="0" w:after="4" w:line="260" w:lineRule="exact"/>
      </w:pPr>
      <w:r>
        <w:rPr>
          <w:rStyle w:val="41"/>
          <w:b/>
          <w:bCs/>
        </w:rPr>
        <w:t>от 13.11.2019 №685/1</w:t>
      </w:r>
    </w:p>
    <w:p w:rsidR="00492F63" w:rsidRDefault="00F066BF" w:rsidP="00FD1668">
      <w:pPr>
        <w:pStyle w:val="20"/>
        <w:shd w:val="clear" w:color="auto" w:fill="auto"/>
        <w:spacing w:before="0" w:line="240" w:lineRule="auto"/>
        <w:ind w:left="520"/>
      </w:pPr>
      <w:proofErr w:type="spellStart"/>
      <w:r>
        <w:t>с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Яр</w:t>
      </w:r>
    </w:p>
    <w:p w:rsidR="00FD1668" w:rsidRDefault="00F066BF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>О внесении изменений в состав</w:t>
      </w:r>
    </w:p>
    <w:p w:rsidR="00FD1668" w:rsidRDefault="00F066BF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 xml:space="preserve">комиссии по включению </w:t>
      </w:r>
      <w:proofErr w:type="gramStart"/>
      <w:r>
        <w:t>нестационарных</w:t>
      </w:r>
      <w:proofErr w:type="gramEnd"/>
    </w:p>
    <w:p w:rsidR="00FD1668" w:rsidRDefault="00F066BF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>торговых объектов в схему размещения</w:t>
      </w:r>
    </w:p>
    <w:p w:rsidR="00FD1668" w:rsidRDefault="00FD1668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 xml:space="preserve">нестационарных </w:t>
      </w:r>
      <w:r w:rsidR="00F066BF">
        <w:t xml:space="preserve">торговых объектов </w:t>
      </w:r>
      <w:proofErr w:type="gramStart"/>
      <w:r w:rsidR="00F066BF">
        <w:t>на</w:t>
      </w:r>
      <w:proofErr w:type="gramEnd"/>
    </w:p>
    <w:p w:rsidR="00FD1668" w:rsidRDefault="00F066BF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>территор</w:t>
      </w:r>
      <w:r w:rsidR="00FD1668">
        <w:t xml:space="preserve">ии муниципального образования </w:t>
      </w:r>
    </w:p>
    <w:p w:rsidR="00492F63" w:rsidRDefault="00F066BF" w:rsidP="00FD1668">
      <w:pPr>
        <w:pStyle w:val="20"/>
        <w:shd w:val="clear" w:color="auto" w:fill="auto"/>
        <w:spacing w:before="0" w:after="304" w:line="240" w:lineRule="auto"/>
        <w:ind w:right="840" w:firstLine="220"/>
      </w:pPr>
      <w:r>
        <w:t>«Черноярский район»</w:t>
      </w:r>
    </w:p>
    <w:p w:rsidR="00492F63" w:rsidRDefault="00F066BF">
      <w:pPr>
        <w:pStyle w:val="20"/>
        <w:shd w:val="clear" w:color="auto" w:fill="auto"/>
        <w:spacing w:before="0" w:line="322" w:lineRule="exact"/>
        <w:ind w:left="220" w:firstLine="840"/>
        <w:jc w:val="both"/>
      </w:pPr>
      <w:proofErr w:type="gramStart"/>
      <w:r>
        <w:t xml:space="preserve">В соответствии с Федеральным законом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</w:t>
      </w:r>
      <w:r>
        <w:rPr>
          <w:lang w:val="en-US" w:eastAsia="en-US" w:bidi="en-US"/>
        </w:rPr>
        <w:t>N</w:t>
      </w:r>
      <w:r w:rsidRPr="00EF408E">
        <w:rPr>
          <w:lang w:eastAsia="en-US" w:bidi="en-US"/>
        </w:rPr>
        <w:t xml:space="preserve"> </w:t>
      </w:r>
      <w:r>
        <w:t xml:space="preserve">772 «Об утверждении Правил </w:t>
      </w:r>
      <w:r w:rsidR="00FD1668">
        <w:t xml:space="preserve">включения нестационарных торговых </w:t>
      </w:r>
      <w:r>
        <w:t xml:space="preserve">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в связи с кадровыми изменениями, комитет имущественных отношений </w:t>
      </w:r>
      <w:proofErr w:type="spellStart"/>
      <w:r>
        <w:t>Черноярского</w:t>
      </w:r>
      <w:proofErr w:type="spellEnd"/>
      <w:r>
        <w:t xml:space="preserve"> района</w:t>
      </w:r>
      <w:proofErr w:type="gramEnd"/>
    </w:p>
    <w:p w:rsidR="00492F63" w:rsidRDefault="00F066BF">
      <w:pPr>
        <w:pStyle w:val="20"/>
        <w:shd w:val="clear" w:color="auto" w:fill="auto"/>
        <w:spacing w:before="0" w:after="9" w:line="280" w:lineRule="exact"/>
        <w:ind w:left="220" w:firstLine="840"/>
        <w:jc w:val="both"/>
      </w:pPr>
      <w:r>
        <w:t>ПОСТАНОВЛЯЕТ:</w:t>
      </w:r>
    </w:p>
    <w:p w:rsidR="00492F63" w:rsidRDefault="00F066B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before="0" w:line="322" w:lineRule="exact"/>
        <w:ind w:left="220" w:firstLine="840"/>
        <w:jc w:val="both"/>
      </w:pPr>
      <w:r>
        <w:t xml:space="preserve">Внести в состав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«Черноярский район» (далее - Комиссия), утвержденного постановлением </w:t>
      </w:r>
      <w:r w:rsidR="00FD1668">
        <w:t>К</w:t>
      </w:r>
      <w:r>
        <w:t xml:space="preserve">омитета имущественных отношений </w:t>
      </w:r>
      <w:proofErr w:type="spellStart"/>
      <w:r>
        <w:t>Черноярского</w:t>
      </w:r>
      <w:proofErr w:type="spellEnd"/>
      <w:r>
        <w:t xml:space="preserve"> </w:t>
      </w:r>
      <w:r w:rsidR="00FD1668">
        <w:t>района от 19.04.2017 № 199 «</w:t>
      </w:r>
      <w:proofErr w:type="gramStart"/>
      <w:r w:rsidR="00FD1668">
        <w:t>Об</w:t>
      </w:r>
      <w:proofErr w:type="gramEnd"/>
      <w:r w:rsidR="00FD1668">
        <w:t xml:space="preserve"> </w:t>
      </w:r>
      <w:r>
        <w:t>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«Черноярский район»» следующие изменения:</w:t>
      </w:r>
    </w:p>
    <w:p w:rsidR="00492F63" w:rsidRDefault="00F066BF">
      <w:pPr>
        <w:pStyle w:val="20"/>
        <w:shd w:val="clear" w:color="auto" w:fill="auto"/>
        <w:spacing w:before="0" w:line="322" w:lineRule="exact"/>
        <w:ind w:left="220" w:firstLine="840"/>
        <w:jc w:val="both"/>
      </w:pPr>
      <w:r>
        <w:t xml:space="preserve">1.1. Вывести из состава Комиссии </w:t>
      </w:r>
      <w:proofErr w:type="spellStart"/>
      <w:r>
        <w:t>Колбенева</w:t>
      </w:r>
      <w:proofErr w:type="spellEnd"/>
      <w:r>
        <w:t xml:space="preserve"> В.В. - главного специалиста комитета имущественных отношений </w:t>
      </w:r>
      <w:proofErr w:type="spellStart"/>
      <w:r>
        <w:t>Черноярского</w:t>
      </w:r>
      <w:proofErr w:type="spellEnd"/>
      <w:r>
        <w:t xml:space="preserve"> район</w:t>
      </w:r>
      <w:r w:rsidR="00532EC4">
        <w:t>а</w:t>
      </w:r>
      <w:r>
        <w:t>.</w:t>
      </w:r>
    </w:p>
    <w:p w:rsidR="00492F63" w:rsidRDefault="00532EC4" w:rsidP="00532EC4">
      <w:pPr>
        <w:pStyle w:val="20"/>
        <w:shd w:val="clear" w:color="auto" w:fill="auto"/>
        <w:tabs>
          <w:tab w:val="left" w:pos="1393"/>
        </w:tabs>
        <w:spacing w:before="0" w:line="322" w:lineRule="exact"/>
        <w:ind w:left="1060"/>
        <w:jc w:val="both"/>
      </w:pPr>
      <w:r>
        <w:t xml:space="preserve">1.2. </w:t>
      </w:r>
      <w:r w:rsidR="00F066BF">
        <w:t>Утвердить новый состав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«Черноярский район» (прилагается).</w:t>
      </w:r>
    </w:p>
    <w:p w:rsidR="00492F63" w:rsidRDefault="00532EC4" w:rsidP="00532EC4">
      <w:pPr>
        <w:pStyle w:val="20"/>
        <w:shd w:val="clear" w:color="auto" w:fill="auto"/>
        <w:tabs>
          <w:tab w:val="left" w:pos="1393"/>
        </w:tabs>
        <w:spacing w:before="0" w:line="350" w:lineRule="exact"/>
        <w:ind w:left="1060"/>
        <w:jc w:val="both"/>
      </w:pPr>
      <w:r>
        <w:t>1.3.</w:t>
      </w:r>
      <w:r w:rsidR="00F066BF">
        <w:t>Настоящее постановление довести до сведения заинтересованных лиц и организаций.</w:t>
      </w:r>
    </w:p>
    <w:p w:rsidR="00532EC4" w:rsidRDefault="00532EC4" w:rsidP="00532EC4">
      <w:pPr>
        <w:pStyle w:val="20"/>
        <w:shd w:val="clear" w:color="auto" w:fill="auto"/>
        <w:tabs>
          <w:tab w:val="left" w:pos="1393"/>
        </w:tabs>
        <w:spacing w:before="0" w:line="350" w:lineRule="exact"/>
        <w:jc w:val="both"/>
      </w:pPr>
    </w:p>
    <w:p w:rsidR="00532EC4" w:rsidRDefault="00532EC4" w:rsidP="00532EC4">
      <w:pPr>
        <w:pStyle w:val="20"/>
        <w:shd w:val="clear" w:color="auto" w:fill="auto"/>
        <w:tabs>
          <w:tab w:val="left" w:pos="1393"/>
        </w:tabs>
        <w:spacing w:before="0" w:line="350" w:lineRule="exact"/>
        <w:jc w:val="both"/>
      </w:pPr>
    </w:p>
    <w:p w:rsidR="00492F63" w:rsidRDefault="00532EC4">
      <w:pPr>
        <w:pStyle w:val="20"/>
        <w:shd w:val="clear" w:color="auto" w:fill="auto"/>
        <w:spacing w:before="0" w:line="280" w:lineRule="exact"/>
        <w:ind w:left="220" w:firstLine="840"/>
        <w:jc w:val="both"/>
      </w:pPr>
      <w:r>
        <w:lastRenderedPageBreak/>
        <w:t>1.4</w:t>
      </w:r>
      <w:r w:rsidR="00F066BF">
        <w:t xml:space="preserve">. Контроль за исполнением настоящего постановления возложить на сектор </w:t>
      </w:r>
      <w:proofErr w:type="gramStart"/>
      <w:r w:rsidR="00F066BF">
        <w:t>по</w:t>
      </w:r>
      <w:proofErr w:type="gramEnd"/>
    </w:p>
    <w:p w:rsidR="00492F63" w:rsidRDefault="00F066BF">
      <w:pPr>
        <w:pStyle w:val="20"/>
        <w:shd w:val="clear" w:color="auto" w:fill="auto"/>
        <w:spacing w:before="0" w:line="280" w:lineRule="exact"/>
        <w:ind w:firstLine="220"/>
      </w:pPr>
      <w:r>
        <w:t>управлению земельными ресурсами.</w:t>
      </w:r>
    </w:p>
    <w:p w:rsidR="00EF408E" w:rsidRDefault="00EF408E">
      <w:pPr>
        <w:pStyle w:val="20"/>
        <w:shd w:val="clear" w:color="auto" w:fill="auto"/>
        <w:spacing w:before="0" w:line="280" w:lineRule="exact"/>
        <w:ind w:firstLine="220"/>
      </w:pPr>
      <w:r>
        <w:t xml:space="preserve">                 </w:t>
      </w:r>
    </w:p>
    <w:p w:rsidR="00EF408E" w:rsidRDefault="00EF408E">
      <w:pPr>
        <w:pStyle w:val="20"/>
        <w:shd w:val="clear" w:color="auto" w:fill="auto"/>
        <w:spacing w:before="0" w:line="280" w:lineRule="exact"/>
        <w:ind w:firstLine="220"/>
      </w:pPr>
    </w:p>
    <w:p w:rsidR="00EF408E" w:rsidRDefault="00EF408E">
      <w:pPr>
        <w:pStyle w:val="20"/>
        <w:shd w:val="clear" w:color="auto" w:fill="auto"/>
        <w:spacing w:before="0" w:line="280" w:lineRule="exact"/>
        <w:ind w:firstLine="220"/>
      </w:pPr>
      <w:r>
        <w:t xml:space="preserve">                    Председатель комитета                                                    А.А. Бобров</w:t>
      </w: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7022EA" w:rsidRDefault="007022EA">
      <w:pPr>
        <w:pStyle w:val="20"/>
        <w:shd w:val="clear" w:color="auto" w:fill="auto"/>
        <w:spacing w:before="0" w:line="280" w:lineRule="exact"/>
        <w:ind w:firstLine="220"/>
      </w:pPr>
    </w:p>
    <w:p w:rsidR="00492F63" w:rsidRPr="007022EA" w:rsidRDefault="007022EA">
      <w:pPr>
        <w:framePr w:w="3442" w:h="1416" w:hSpace="3712" w:wrap="notBeside" w:vAnchor="text" w:hAnchor="text" w:x="6737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2F63" w:rsidRDefault="00492F63">
      <w:pPr>
        <w:pStyle w:val="a5"/>
        <w:framePr w:w="2842" w:h="349" w:hSpace="3712" w:wrap="notBeside" w:vAnchor="text" w:hAnchor="text" w:x="3713" w:y="602"/>
        <w:shd w:val="clear" w:color="auto" w:fill="auto"/>
        <w:spacing w:line="280" w:lineRule="exact"/>
      </w:pPr>
    </w:p>
    <w:p w:rsidR="00492F63" w:rsidRDefault="00492F63">
      <w:pPr>
        <w:pStyle w:val="a5"/>
        <w:framePr w:w="1517" w:h="339" w:hSpace="3712" w:wrap="notBeside" w:vAnchor="text" w:hAnchor="text" w:x="10649" w:y="569"/>
        <w:shd w:val="clear" w:color="auto" w:fill="auto"/>
        <w:spacing w:line="280" w:lineRule="exact"/>
      </w:pPr>
    </w:p>
    <w:p w:rsidR="007022EA" w:rsidRPr="007022EA" w:rsidRDefault="007022EA" w:rsidP="007022EA">
      <w:pPr>
        <w:spacing w:after="303" w:line="264" w:lineRule="exact"/>
        <w:ind w:left="6280" w:right="760"/>
        <w:rPr>
          <w:rFonts w:ascii="Times New Roman" w:eastAsia="Times New Roman" w:hAnsi="Times New Roman" w:cs="Times New Roman"/>
          <w:sz w:val="22"/>
          <w:szCs w:val="22"/>
        </w:rPr>
      </w:pPr>
      <w:r w:rsidRPr="007022EA">
        <w:rPr>
          <w:rFonts w:ascii="Times New Roman" w:eastAsia="Times New Roman" w:hAnsi="Times New Roman" w:cs="Times New Roman"/>
          <w:sz w:val="22"/>
          <w:szCs w:val="22"/>
        </w:rPr>
        <w:t xml:space="preserve">постановлением комитета </w:t>
      </w:r>
      <w:r w:rsidRPr="007022EA">
        <w:rPr>
          <w:rFonts w:ascii="Times New Roman" w:eastAsia="Times New Roman" w:hAnsi="Times New Roman" w:cs="Times New Roman"/>
          <w:sz w:val="21"/>
          <w:szCs w:val="21"/>
        </w:rPr>
        <w:t xml:space="preserve">имущественных отношений </w:t>
      </w:r>
      <w:proofErr w:type="spellStart"/>
      <w:r w:rsidRPr="007022EA">
        <w:rPr>
          <w:rFonts w:ascii="Times New Roman" w:eastAsia="Times New Roman" w:hAnsi="Times New Roman" w:cs="Times New Roman"/>
          <w:sz w:val="22"/>
          <w:szCs w:val="22"/>
        </w:rPr>
        <w:t>Черноярского</w:t>
      </w:r>
      <w:proofErr w:type="spellEnd"/>
      <w:r w:rsidRPr="007022EA">
        <w:rPr>
          <w:rFonts w:ascii="Times New Roman" w:eastAsia="Times New Roman" w:hAnsi="Times New Roman" w:cs="Times New Roman"/>
          <w:sz w:val="22"/>
          <w:szCs w:val="22"/>
        </w:rPr>
        <w:t xml:space="preserve"> района от 13.11.2019 г. №685/1</w:t>
      </w:r>
    </w:p>
    <w:p w:rsidR="007022EA" w:rsidRPr="007022EA" w:rsidRDefault="007022EA" w:rsidP="007022EA">
      <w:pPr>
        <w:spacing w:after="177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7022EA" w:rsidRPr="007022EA" w:rsidRDefault="007022EA" w:rsidP="007022EA">
      <w:pPr>
        <w:spacing w:line="34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>комиссии по включению нестационарных торговых объектов в схему размещения нестационарных торговых объектов на территории муниципального образования</w:t>
      </w:r>
    </w:p>
    <w:p w:rsidR="007022EA" w:rsidRPr="007022EA" w:rsidRDefault="007022EA" w:rsidP="007022EA">
      <w:pPr>
        <w:spacing w:after="676" w:line="341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>«Черноярский район»</w:t>
      </w:r>
    </w:p>
    <w:p w:rsidR="007022EA" w:rsidRPr="007022EA" w:rsidRDefault="007022EA" w:rsidP="007022EA">
      <w:pPr>
        <w:spacing w:after="373" w:line="322" w:lineRule="exact"/>
        <w:ind w:right="1140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4pt;margin-top:-4.4pt;width:161.05pt;height:130.55pt;z-index:-251657216;mso-wrap-distance-left:5pt;mso-wrap-distance-right:36.25pt;mso-wrap-distance-bottom:138.2pt;mso-position-horizontal-relative:margin" filled="f" stroked="f">
            <v:textbox style="mso-fit-shape-to-text:t" inset="0,0,0,0">
              <w:txbxContent>
                <w:p w:rsidR="007022EA" w:rsidRDefault="007022EA" w:rsidP="007022EA">
                  <w:pPr>
                    <w:pStyle w:val="20"/>
                    <w:shd w:val="clear" w:color="auto" w:fill="auto"/>
                    <w:spacing w:before="0" w:line="260" w:lineRule="exact"/>
                  </w:pPr>
                  <w:r>
                    <w:rPr>
                      <w:rStyle w:val="2Exact"/>
                    </w:rPr>
                    <w:t>Бобров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after="299" w:line="26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Александр Александрович - 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after="299" w:line="260" w:lineRule="exact"/>
                    <w:rPr>
                      <w:rStyle w:val="2Exact"/>
                    </w:rPr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Шевченко Дарья Евгеньевна-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/>
                    <w:rPr>
                      <w:rStyle w:val="2Exact"/>
                    </w:rPr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/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/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/>
                  </w:pPr>
                  <w:proofErr w:type="spellStart"/>
                  <w:r>
                    <w:rPr>
                      <w:rStyle w:val="2Exact"/>
                    </w:rPr>
                    <w:t>Магеррамов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Илькин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Яшарович</w:t>
                  </w:r>
                  <w:proofErr w:type="spellEnd"/>
                  <w:r>
                    <w:rPr>
                      <w:rStyle w:val="2Exact"/>
                    </w:rPr>
                    <w:t xml:space="preserve"> - </w:t>
                  </w:r>
                </w:p>
              </w:txbxContent>
            </v:textbox>
            <w10:wrap type="square" side="right" anchorx="margin"/>
          </v:shape>
        </w:pict>
      </w:r>
      <w:r w:rsidRPr="007022EA">
        <w:rPr>
          <w:rFonts w:ascii="Times New Roman" w:eastAsia="Times New Roman" w:hAnsi="Times New Roman" w:cs="Times New Roman"/>
          <w:sz w:val="26"/>
          <w:szCs w:val="26"/>
        </w:rPr>
        <w:pict>
          <v:shape id="_x0000_s1027" type="#_x0000_t202" style="position:absolute;margin-left:-14.4pt;margin-top:158.05pt;width:162pt;height:101.15pt;z-index:-251656192;mso-wrap-distance-left:5pt;mso-wrap-distance-top:162.15pt;mso-wrap-distance-right:35.3pt;mso-wrap-distance-bottom:5.15pt;mso-position-horizontal-relative:margin" filled="f" stroked="f">
            <v:textbox style="mso-fit-shape-to-text:t" inset="0,0,0,0">
              <w:txbxContent>
                <w:p w:rsidR="007022EA" w:rsidRDefault="007022EA" w:rsidP="007022EA">
                  <w:pPr>
                    <w:pStyle w:val="20"/>
                    <w:shd w:val="clear" w:color="auto" w:fill="auto"/>
                    <w:spacing w:before="0" w:after="357" w:line="260" w:lineRule="exact"/>
                    <w:rPr>
                      <w:rStyle w:val="2Exact"/>
                    </w:rPr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after="357" w:line="260" w:lineRule="exact"/>
                    <w:rPr>
                      <w:rStyle w:val="2Exact"/>
                    </w:rPr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after="357" w:line="260" w:lineRule="exact"/>
                  </w:pPr>
                  <w:r>
                    <w:rPr>
                      <w:rStyle w:val="2Exact"/>
                    </w:rPr>
                    <w:t>Члены комиссии: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line="260" w:lineRule="exact"/>
                  </w:pPr>
                  <w:r>
                    <w:rPr>
                      <w:rStyle w:val="2Exact"/>
                    </w:rPr>
                    <w:t>Ежова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line="648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Светлана Валентиновна</w:t>
                  </w:r>
                  <w:r>
                    <w:rPr>
                      <w:rStyle w:val="2Exact"/>
                    </w:rPr>
                    <w:t>-</w:t>
                  </w:r>
                  <w:r>
                    <w:rPr>
                      <w:rStyle w:val="2Exact"/>
                    </w:rPr>
                    <w:t xml:space="preserve"> </w:t>
                  </w: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line="648" w:lineRule="exact"/>
                    <w:rPr>
                      <w:rStyle w:val="2Exact"/>
                    </w:rPr>
                  </w:pPr>
                </w:p>
                <w:p w:rsidR="007022EA" w:rsidRDefault="007022EA" w:rsidP="007022EA">
                  <w:pPr>
                    <w:pStyle w:val="20"/>
                    <w:shd w:val="clear" w:color="auto" w:fill="auto"/>
                    <w:spacing w:before="0" w:line="648" w:lineRule="exact"/>
                  </w:pPr>
                  <w:r>
                    <w:rPr>
                      <w:rStyle w:val="2Exact"/>
                    </w:rPr>
                    <w:t>Свищева Анна Васильевна</w:t>
                  </w:r>
                  <w:r>
                    <w:rPr>
                      <w:rStyle w:val="2Exact"/>
                    </w:rPr>
                    <w:t>-</w:t>
                  </w:r>
                </w:p>
              </w:txbxContent>
            </v:textbox>
            <w10:wrap type="square" side="right" anchorx="margin"/>
          </v:shape>
        </w:pict>
      </w:r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комитета имущественных отношений </w:t>
      </w:r>
      <w:proofErr w:type="spellStart"/>
      <w:r w:rsidRPr="007022EA">
        <w:rPr>
          <w:rFonts w:ascii="Times New Roman" w:eastAsia="Times New Roman" w:hAnsi="Times New Roman" w:cs="Times New Roman"/>
          <w:sz w:val="26"/>
          <w:szCs w:val="26"/>
        </w:rPr>
        <w:t>Черноярского</w:t>
      </w:r>
      <w:proofErr w:type="spellEnd"/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 района, председатель комиссии; </w:t>
      </w:r>
    </w:p>
    <w:p w:rsidR="007022EA" w:rsidRDefault="007022EA" w:rsidP="007022EA">
      <w:pPr>
        <w:spacing w:after="373" w:line="322" w:lineRule="exact"/>
        <w:ind w:right="1140"/>
        <w:rPr>
          <w:rFonts w:ascii="Times New Roman" w:eastAsia="Times New Roman" w:hAnsi="Times New Roman" w:cs="Times New Roman"/>
          <w:sz w:val="26"/>
          <w:szCs w:val="26"/>
        </w:rPr>
      </w:pPr>
    </w:p>
    <w:p w:rsidR="007022EA" w:rsidRDefault="007022EA" w:rsidP="007022EA">
      <w:pPr>
        <w:spacing w:after="373" w:line="322" w:lineRule="exact"/>
        <w:ind w:right="1140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комитета имущественных отношений </w:t>
      </w:r>
      <w:proofErr w:type="spellStart"/>
      <w:r w:rsidRPr="007022EA">
        <w:rPr>
          <w:rFonts w:ascii="Times New Roman" w:eastAsia="Times New Roman" w:hAnsi="Times New Roman" w:cs="Times New Roman"/>
          <w:sz w:val="26"/>
          <w:szCs w:val="26"/>
        </w:rPr>
        <w:t>Черноярского</w:t>
      </w:r>
      <w:proofErr w:type="spellEnd"/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 района, заместитель председателя комиссии; </w:t>
      </w:r>
    </w:p>
    <w:p w:rsidR="007022EA" w:rsidRPr="007022EA" w:rsidRDefault="007022EA" w:rsidP="007022EA">
      <w:pPr>
        <w:spacing w:after="373" w:line="322" w:lineRule="exact"/>
        <w:ind w:right="1140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специалист-юрист комитета имущественных отношений </w:t>
      </w:r>
      <w:proofErr w:type="spellStart"/>
      <w:r w:rsidRPr="007022EA">
        <w:rPr>
          <w:rFonts w:ascii="Times New Roman" w:eastAsia="Times New Roman" w:hAnsi="Times New Roman" w:cs="Times New Roman"/>
          <w:sz w:val="26"/>
          <w:szCs w:val="26"/>
        </w:rPr>
        <w:t>Черноярского</w:t>
      </w:r>
      <w:proofErr w:type="spellEnd"/>
      <w:r w:rsidRPr="007022EA">
        <w:rPr>
          <w:rFonts w:ascii="Times New Roman" w:eastAsia="Times New Roman" w:hAnsi="Times New Roman" w:cs="Times New Roman"/>
          <w:sz w:val="26"/>
          <w:szCs w:val="26"/>
        </w:rPr>
        <w:t xml:space="preserve"> района, секретарь комиссии</w:t>
      </w:r>
    </w:p>
    <w:p w:rsidR="007022EA" w:rsidRPr="007022EA" w:rsidRDefault="007022EA" w:rsidP="007022EA">
      <w:pPr>
        <w:spacing w:line="230" w:lineRule="exact"/>
        <w:ind w:left="520"/>
        <w:rPr>
          <w:rFonts w:ascii="Arial Narrow" w:eastAsia="Arial Narrow" w:hAnsi="Arial Narrow" w:cs="Arial Narrow"/>
          <w:i/>
          <w:iCs/>
          <w:sz w:val="23"/>
          <w:szCs w:val="23"/>
        </w:rPr>
      </w:pPr>
    </w:p>
    <w:p w:rsidR="007022EA" w:rsidRPr="007022EA" w:rsidRDefault="007022EA" w:rsidP="007022EA">
      <w:pPr>
        <w:tabs>
          <w:tab w:val="left" w:pos="5366"/>
        </w:tabs>
        <w:spacing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022EA" w:rsidRPr="007022EA" w:rsidRDefault="007022EA" w:rsidP="007022EA">
      <w:pPr>
        <w:tabs>
          <w:tab w:val="left" w:pos="5366"/>
        </w:tabs>
        <w:spacing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022EA" w:rsidRPr="007022EA" w:rsidRDefault="007022EA" w:rsidP="007022EA">
      <w:pPr>
        <w:tabs>
          <w:tab w:val="left" w:pos="5366"/>
        </w:tabs>
        <w:spacing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022EA">
        <w:rPr>
          <w:rFonts w:ascii="Times New Roman" w:eastAsia="Times New Roman" w:hAnsi="Times New Roman" w:cs="Times New Roman"/>
          <w:sz w:val="26"/>
          <w:szCs w:val="26"/>
        </w:rPr>
        <w:t>начальник отдела экономического развития, предпринимательства и торговли администрации муниципального образования «Черноярский район» (по согласованию);</w:t>
      </w:r>
    </w:p>
    <w:p w:rsidR="007022EA" w:rsidRDefault="007022EA" w:rsidP="007022EA">
      <w:bookmarkStart w:id="2" w:name="_GoBack"/>
      <w:bookmarkEnd w:id="2"/>
    </w:p>
    <w:p w:rsidR="00492F63" w:rsidRPr="007022EA" w:rsidRDefault="007022EA" w:rsidP="007022EA">
      <w:pPr>
        <w:rPr>
          <w:rFonts w:ascii="Times New Roman" w:hAnsi="Times New Roman" w:cs="Times New Roman"/>
          <w:sz w:val="26"/>
          <w:szCs w:val="26"/>
        </w:rPr>
      </w:pPr>
      <w:r w:rsidRPr="007022EA">
        <w:rPr>
          <w:rFonts w:ascii="Times New Roman" w:hAnsi="Times New Roman" w:cs="Times New Roman"/>
          <w:sz w:val="26"/>
          <w:szCs w:val="26"/>
        </w:rPr>
        <w:t xml:space="preserve">главный специалист комитета имущественных отношений </w:t>
      </w:r>
      <w:proofErr w:type="spellStart"/>
      <w:r w:rsidRPr="007022EA">
        <w:rPr>
          <w:rFonts w:ascii="Times New Roman" w:hAnsi="Times New Roman" w:cs="Times New Roman"/>
          <w:sz w:val="26"/>
          <w:szCs w:val="26"/>
        </w:rPr>
        <w:t>Черноярского</w:t>
      </w:r>
      <w:proofErr w:type="spellEnd"/>
      <w:r w:rsidRPr="007022E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92F63" w:rsidRPr="007022EA" w:rsidRDefault="00492F63">
      <w:pPr>
        <w:rPr>
          <w:rFonts w:ascii="Times New Roman" w:hAnsi="Times New Roman" w:cs="Times New Roman"/>
          <w:sz w:val="26"/>
          <w:szCs w:val="26"/>
        </w:rPr>
      </w:pPr>
    </w:p>
    <w:sectPr w:rsidR="00492F63" w:rsidRPr="007022EA" w:rsidSect="00532EC4">
      <w:pgSz w:w="11900" w:h="16840"/>
      <w:pgMar w:top="851" w:right="570" w:bottom="142" w:left="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B1" w:rsidRDefault="00356FB1">
      <w:r>
        <w:separator/>
      </w:r>
    </w:p>
  </w:endnote>
  <w:endnote w:type="continuationSeparator" w:id="0">
    <w:p w:rsidR="00356FB1" w:rsidRDefault="003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B1" w:rsidRDefault="00356FB1"/>
  </w:footnote>
  <w:footnote w:type="continuationSeparator" w:id="0">
    <w:p w:rsidR="00356FB1" w:rsidRDefault="00356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56B"/>
    <w:multiLevelType w:val="multilevel"/>
    <w:tmpl w:val="B998A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2F63"/>
    <w:rsid w:val="00356FB1"/>
    <w:rsid w:val="00492F63"/>
    <w:rsid w:val="00532EC4"/>
    <w:rsid w:val="007022EA"/>
    <w:rsid w:val="00EF408E"/>
    <w:rsid w:val="00F066BF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D1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668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70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2021-02-19T06:36:00Z</dcterms:created>
  <dcterms:modified xsi:type="dcterms:W3CDTF">2021-02-19T07:15:00Z</dcterms:modified>
</cp:coreProperties>
</file>